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B6" w:rsidRDefault="00F25BB6" w:rsidP="002B6810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CE7C51" w:rsidRPr="008176D8" w:rsidRDefault="00C51221" w:rsidP="002B6810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176D8">
        <w:rPr>
          <w:rFonts w:ascii="Times New Roman" w:hAnsi="Times New Roman" w:cs="Times New Roman"/>
          <w:b/>
          <w:sz w:val="20"/>
          <w:szCs w:val="20"/>
        </w:rPr>
        <w:t>Ключевой информационный документ</w:t>
      </w:r>
      <w:r w:rsidR="00B13220">
        <w:rPr>
          <w:rFonts w:ascii="Times New Roman" w:hAnsi="Times New Roman" w:cs="Times New Roman"/>
          <w:b/>
          <w:sz w:val="20"/>
          <w:szCs w:val="20"/>
        </w:rPr>
        <w:t xml:space="preserve"> (КИД)</w:t>
      </w:r>
      <w:r w:rsidR="0092661C" w:rsidRPr="008176D8">
        <w:rPr>
          <w:rFonts w:ascii="Times New Roman" w:hAnsi="Times New Roman" w:cs="Times New Roman"/>
          <w:b/>
          <w:sz w:val="20"/>
          <w:szCs w:val="20"/>
        </w:rPr>
        <w:t xml:space="preserve"> по формированию долгосрочных сбережений </w:t>
      </w:r>
    </w:p>
    <w:p w:rsidR="005C32DC" w:rsidRPr="008176D8" w:rsidRDefault="00C51221" w:rsidP="00CE7C51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76D8">
        <w:rPr>
          <w:rFonts w:ascii="Times New Roman" w:hAnsi="Times New Roman" w:cs="Times New Roman"/>
          <w:b/>
          <w:sz w:val="20"/>
          <w:szCs w:val="20"/>
        </w:rPr>
        <w:t xml:space="preserve"> по договорам </w:t>
      </w:r>
      <w:r w:rsidR="00CE7C51" w:rsidRPr="008176D8">
        <w:rPr>
          <w:rFonts w:ascii="Times New Roman" w:hAnsi="Times New Roman" w:cs="Times New Roman"/>
          <w:b/>
          <w:sz w:val="20"/>
          <w:szCs w:val="20"/>
        </w:rPr>
        <w:t>долгосрочных сбережений</w:t>
      </w: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8221"/>
      </w:tblGrid>
      <w:tr w:rsidR="008176D8" w:rsidRPr="008176D8" w:rsidTr="00CE7C51">
        <w:trPr>
          <w:trHeight w:val="1116"/>
        </w:trPr>
        <w:tc>
          <w:tcPr>
            <w:tcW w:w="10632" w:type="dxa"/>
            <w:gridSpan w:val="3"/>
          </w:tcPr>
          <w:p w:rsidR="00833936" w:rsidRPr="008176D8" w:rsidRDefault="00055E6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Настоящий документ является ключевым информационным документом АО «НПФ «Волга-Капитал» (далее –</w:t>
            </w:r>
            <w:r w:rsidR="00E8047D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Фонд) по информированию получателей финансовых услуг о Фонде, предоставляющем услугу </w:t>
            </w:r>
            <w:r w:rsidRPr="00BA57C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E7C51" w:rsidRPr="00BA57CF">
              <w:rPr>
                <w:rFonts w:ascii="Times New Roman" w:hAnsi="Times New Roman" w:cs="Times New Roman"/>
                <w:sz w:val="20"/>
                <w:szCs w:val="20"/>
              </w:rPr>
              <w:t>формированию долгосрочных сбережений</w:t>
            </w:r>
            <w:r w:rsidR="00E8047D" w:rsidRPr="00BA57CF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долгосрочных сбережений</w:t>
            </w:r>
            <w:r w:rsidR="00E8047D"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047D" w:rsidRPr="008176D8">
              <w:rPr>
                <w:rFonts w:ascii="Times New Roman" w:hAnsi="Times New Roman" w:cs="Times New Roman"/>
                <w:sz w:val="20"/>
                <w:szCs w:val="20"/>
              </w:rPr>
              <w:t>(далее-</w:t>
            </w:r>
            <w:r w:rsidR="00C92376" w:rsidRPr="008176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047D" w:rsidRPr="008176D8">
              <w:rPr>
                <w:rFonts w:ascii="Times New Roman" w:hAnsi="Times New Roman" w:cs="Times New Roman"/>
                <w:sz w:val="20"/>
                <w:szCs w:val="20"/>
              </w:rPr>
              <w:t>оговор ДС),</w:t>
            </w:r>
            <w:r w:rsidR="00E8047D"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047D" w:rsidRPr="008176D8">
              <w:rPr>
                <w:rFonts w:ascii="Times New Roman" w:hAnsi="Times New Roman" w:cs="Times New Roman"/>
                <w:sz w:val="20"/>
                <w:szCs w:val="20"/>
              </w:rPr>
              <w:t>вид договора «</w:t>
            </w:r>
            <w:r w:rsidR="00E8047D" w:rsidRPr="00BA5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 долгосрочных сбережений с </w:t>
            </w:r>
            <w:r w:rsidR="00667517" w:rsidRPr="00BA57CF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установленным</w:t>
            </w:r>
            <w:r w:rsidR="00E8047D" w:rsidRPr="00BA5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порядком уплаты сберегательных взносов</w:t>
            </w:r>
            <w:r w:rsidR="00E8047D" w:rsidRPr="008176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51221" w:rsidRPr="00817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221"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1221" w:rsidRPr="007842F8">
              <w:rPr>
                <w:rFonts w:ascii="Times New Roman" w:hAnsi="Times New Roman" w:cs="Times New Roman"/>
                <w:sz w:val="20"/>
                <w:szCs w:val="20"/>
              </w:rPr>
              <w:t xml:space="preserve">ее сущности, стоимости и основных рисках. </w:t>
            </w:r>
            <w:r w:rsidR="00C51221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Настоящий КИД относится к </w:t>
            </w:r>
            <w:r w:rsidR="001260CD" w:rsidRPr="008176D8">
              <w:rPr>
                <w:rFonts w:ascii="Times New Roman" w:hAnsi="Times New Roman" w:cs="Times New Roman"/>
                <w:sz w:val="20"/>
                <w:szCs w:val="20"/>
              </w:rPr>
              <w:t>виду Договора долгосрочных сбережений</w:t>
            </w:r>
            <w:r w:rsidR="00C51221" w:rsidRPr="008176D8">
              <w:rPr>
                <w:rFonts w:ascii="Times New Roman" w:hAnsi="Times New Roman" w:cs="Times New Roman"/>
                <w:sz w:val="20"/>
                <w:szCs w:val="20"/>
              </w:rPr>
              <w:t>, предлагаем</w:t>
            </w:r>
            <w:r w:rsidR="001260CD" w:rsidRPr="008176D8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51221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36" w:rsidRPr="008176D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51221" w:rsidRPr="008176D8">
              <w:rPr>
                <w:rFonts w:ascii="Times New Roman" w:hAnsi="Times New Roman" w:cs="Times New Roman"/>
                <w:sz w:val="20"/>
                <w:szCs w:val="20"/>
              </w:rPr>
              <w:t>ондом для заключения</w:t>
            </w:r>
            <w:r w:rsidR="00770DC3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</w:t>
            </w:r>
            <w:r w:rsidR="001260CD" w:rsidRPr="008176D8">
              <w:rPr>
                <w:rFonts w:ascii="Times New Roman" w:hAnsi="Times New Roman" w:cs="Times New Roman"/>
                <w:sz w:val="20"/>
                <w:szCs w:val="20"/>
              </w:rPr>
              <w:t>долгосрочных сбережений</w:t>
            </w:r>
            <w:r w:rsidR="00770DC3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физическими лицами в соответствии с действующей редакцией </w:t>
            </w:r>
            <w:r w:rsidR="001260CD" w:rsidRPr="008176D8">
              <w:rPr>
                <w:rFonts w:ascii="Times New Roman" w:hAnsi="Times New Roman" w:cs="Times New Roman"/>
                <w:sz w:val="20"/>
                <w:szCs w:val="20"/>
              </w:rPr>
              <w:t>Правил формирования долгосрочных сбережений Фонда</w:t>
            </w:r>
            <w:r w:rsidR="008C21D6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(далее-Правила)</w:t>
            </w:r>
            <w:r w:rsidR="00770DC3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55E6E" w:rsidRPr="008176D8" w:rsidRDefault="00770D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Данный документ </w:t>
            </w:r>
            <w:r w:rsidR="00875EDB"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>не является рекламным материалом</w:t>
            </w:r>
          </w:p>
        </w:tc>
      </w:tr>
      <w:tr w:rsidR="008176D8" w:rsidRPr="008176D8" w:rsidTr="00CE7C51">
        <w:trPr>
          <w:trHeight w:val="1116"/>
        </w:trPr>
        <w:tc>
          <w:tcPr>
            <w:tcW w:w="426" w:type="dxa"/>
          </w:tcPr>
          <w:p w:rsidR="005C32DC" w:rsidRPr="008176D8" w:rsidRDefault="005C32DC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5C32DC" w:rsidRPr="008176D8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Информация о поставщике финансовой услуги – негосударственном пенсионном фонде</w:t>
            </w:r>
            <w:r w:rsidR="00875EDB" w:rsidRPr="008176D8">
              <w:rPr>
                <w:rFonts w:ascii="Times New Roman" w:hAnsi="Times New Roman" w:cs="Times New Roman"/>
                <w:sz w:val="20"/>
                <w:szCs w:val="20"/>
              </w:rPr>
              <w:t>, а также об агенте фонда</w:t>
            </w:r>
            <w:r w:rsidR="00B75C3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(если применимо)</w:t>
            </w:r>
          </w:p>
        </w:tc>
        <w:tc>
          <w:tcPr>
            <w:tcW w:w="8221" w:type="dxa"/>
          </w:tcPr>
          <w:p w:rsidR="00E70A09" w:rsidRPr="008176D8" w:rsidRDefault="00E70A09" w:rsidP="00833936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</w:t>
            </w:r>
            <w:r w:rsidR="00F762DC"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фирменное </w:t>
            </w:r>
            <w:proofErr w:type="gramStart"/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 Акционерное</w:t>
            </w:r>
            <w:proofErr w:type="gram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«Негосударственный пенсионный фонд «Волга-Капитал»  </w:t>
            </w:r>
          </w:p>
          <w:p w:rsidR="00E70A09" w:rsidRPr="008176D8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Сокращенное фирменное наименование: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АО «НПФ «Волга-Капитал»</w:t>
            </w:r>
          </w:p>
          <w:p w:rsidR="00E70A09" w:rsidRPr="008176D8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2DC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1151600000980</w:t>
            </w:r>
          </w:p>
          <w:p w:rsidR="00E70A09" w:rsidRPr="008176D8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ИНН: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1660240681</w:t>
            </w:r>
          </w:p>
          <w:p w:rsidR="00E70A09" w:rsidRPr="008176D8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Лицензия: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№ 377/2 от 15.03.2007г. на осуществление деятельности по пенсионному обеспечению и пенсионному страхованию</w:t>
            </w:r>
          </w:p>
          <w:p w:rsidR="00FD1FAB" w:rsidRPr="008176D8" w:rsidRDefault="00CB10CD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420061, г. Казань, ул. Н.</w:t>
            </w:r>
            <w:r w:rsidR="0069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Ершова, д.55 Е</w:t>
            </w:r>
          </w:p>
          <w:p w:rsidR="000B152E" w:rsidRPr="000C73A7" w:rsidRDefault="000B152E" w:rsidP="000B15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D46F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телефоны Фонда: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8 800 555 35 50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46F3">
              <w:rPr>
                <w:rFonts w:ascii="Times New Roman" w:hAnsi="Times New Roman" w:cs="Times New Roman"/>
                <w:sz w:val="20"/>
                <w:szCs w:val="20"/>
              </w:rPr>
              <w:t>8 800 250 96 37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(звонок по России бесплатный).</w:t>
            </w:r>
          </w:p>
          <w:p w:rsidR="00E70A09" w:rsidRPr="008176D8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Адрес официального сайта в сети «Интернет»: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http://volga-capital.ru</w:t>
            </w:r>
          </w:p>
          <w:p w:rsidR="00E70A09" w:rsidRPr="008176D8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почты: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info@volga-capital.ru </w:t>
            </w:r>
          </w:p>
          <w:p w:rsidR="008C22A6" w:rsidRPr="008176D8" w:rsidRDefault="00E70A09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Подробно ознакомиться с информацие</w:t>
            </w:r>
            <w:r w:rsidR="00ED786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й о Фонде, с </w:t>
            </w:r>
            <w:r w:rsidR="008C22A6" w:rsidRPr="008176D8">
              <w:rPr>
                <w:rFonts w:ascii="Times New Roman" w:hAnsi="Times New Roman" w:cs="Times New Roman"/>
                <w:sz w:val="20"/>
                <w:szCs w:val="20"/>
              </w:rPr>
              <w:t>Уставом</w:t>
            </w:r>
            <w:r w:rsidR="00ED786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7BE4" w:rsidRPr="008176D8">
              <w:rPr>
                <w:rFonts w:ascii="Times New Roman" w:hAnsi="Times New Roman" w:cs="Times New Roman"/>
                <w:sz w:val="20"/>
                <w:szCs w:val="20"/>
              </w:rPr>
              <w:t>Правилами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иными документами, предусмотренными Федеральным законом от 07.05.1998 №75-ФЗ «О негосударственных пенсионных фондах» и нормативными актами Банка России, вы можете </w:t>
            </w:r>
            <w:r w:rsidR="008C22A6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BF58E5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="008C22A6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сайте Фонда </w:t>
            </w:r>
            <w:r w:rsidR="00BF58E5" w:rsidRPr="008176D8">
              <w:rPr>
                <w:rFonts w:ascii="Times New Roman" w:hAnsi="Times New Roman" w:cs="Times New Roman"/>
                <w:sz w:val="20"/>
                <w:szCs w:val="20"/>
              </w:rPr>
              <w:t>или в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офис</w:t>
            </w:r>
            <w:r w:rsidR="008C22A6" w:rsidRPr="008176D8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Фонда по адрес</w:t>
            </w:r>
            <w:r w:rsidR="008C22A6" w:rsidRPr="008176D8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F58E5" w:rsidRDefault="00E70A09" w:rsidP="002B68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</w:t>
            </w:r>
            <w:r w:rsidR="00FD21E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шова, д. 55Е </w:t>
            </w:r>
          </w:p>
          <w:p w:rsidR="001A00A0" w:rsidRPr="001A00A0" w:rsidRDefault="001A00A0" w:rsidP="002B6810">
            <w:pPr>
              <w:pStyle w:val="ad"/>
              <w:numPr>
                <w:ilvl w:val="0"/>
                <w:numId w:val="11"/>
              </w:numPr>
              <w:spacing w:line="360" w:lineRule="auto"/>
              <w:ind w:left="1032" w:hanging="35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A00A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420061, Республика Татарстан, г. Казань, ул. Н. Ершова, д. 57Б</w:t>
            </w:r>
          </w:p>
          <w:p w:rsidR="00BF58E5" w:rsidRPr="008176D8" w:rsidRDefault="00BF58E5" w:rsidP="002B68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Сеченова, д.3</w:t>
            </w:r>
          </w:p>
          <w:p w:rsidR="00BF58E5" w:rsidRPr="008176D8" w:rsidRDefault="00BF58E5" w:rsidP="002B68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420012, Республика Татарстан, г. Казань, ул. </w:t>
            </w:r>
            <w:proofErr w:type="spellStart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Муштари</w:t>
            </w:r>
            <w:proofErr w:type="spell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702D32" w:rsidRPr="008176D8" w:rsidRDefault="00702D32" w:rsidP="002B68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428003, Чувашская </w:t>
            </w:r>
            <w:r w:rsidR="00221D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еспублика – Чувашия, г. Чебоксары, пр-т Московский, д.3</w:t>
            </w:r>
          </w:p>
          <w:p w:rsidR="00702D32" w:rsidRPr="008176D8" w:rsidRDefault="00702D32" w:rsidP="002B68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423802, Республика Татарстан, г. Набережные Челны, ул. </w:t>
            </w:r>
            <w:proofErr w:type="spellStart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им.Батенчука</w:t>
            </w:r>
            <w:proofErr w:type="spell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д.18</w:t>
            </w:r>
          </w:p>
          <w:p w:rsidR="00BF58E5" w:rsidRDefault="00702D32" w:rsidP="002B68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423461, Республика Татарстан, г. Альметьевск, ул. Ленина, д.113А</w:t>
            </w:r>
          </w:p>
          <w:p w:rsidR="00875EDB" w:rsidRPr="008176D8" w:rsidRDefault="001917EB" w:rsidP="0081312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8176D8" w:rsidRPr="008176D8" w:rsidTr="00CE7C51">
        <w:trPr>
          <w:trHeight w:val="1116"/>
        </w:trPr>
        <w:tc>
          <w:tcPr>
            <w:tcW w:w="426" w:type="dxa"/>
          </w:tcPr>
          <w:p w:rsidR="005C32DC" w:rsidRPr="008176D8" w:rsidRDefault="00875EDB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32DC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8176D8" w:rsidRDefault="000E3F35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Наименование и тип предоставляемого продукта/услуги</w:t>
            </w:r>
          </w:p>
        </w:tc>
        <w:tc>
          <w:tcPr>
            <w:tcW w:w="8221" w:type="dxa"/>
          </w:tcPr>
          <w:p w:rsidR="00501359" w:rsidRPr="008176D8" w:rsidRDefault="00501359" w:rsidP="00106EAB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Финансовая услуга по формированию долгосрочных сбережений, оказываемая по Договору долгосрочных сбережений (Договор ДС).</w:t>
            </w:r>
          </w:p>
          <w:p w:rsidR="00F948DB" w:rsidRPr="008176D8" w:rsidRDefault="00667517" w:rsidP="00106EAB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Вид Договора 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– договор </w:t>
            </w:r>
            <w:r w:rsidR="00F948DB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долгосрочных сбережений с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установленным</w:t>
            </w:r>
            <w:r w:rsidR="00F948DB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порядком уплаты сберегательных взносов.</w:t>
            </w:r>
          </w:p>
          <w:p w:rsidR="00A14D02" w:rsidRPr="008176D8" w:rsidRDefault="00A14D02" w:rsidP="00A14D02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Вкладчик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– физическое лицо, являющееся стороной договора долгосрочных сбережений и уплачивающее сберегательные взносы в Фонд.</w:t>
            </w:r>
          </w:p>
          <w:p w:rsidR="00A14D02" w:rsidRPr="008176D8" w:rsidRDefault="00A14D02" w:rsidP="00A14D02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– физическое лицо, которому в соответствии с заключенным между Вкладчиком и Фондом договором ДС должны производиться или производятся выплаты.</w:t>
            </w:r>
          </w:p>
          <w:p w:rsidR="00A14D02" w:rsidRPr="008176D8" w:rsidRDefault="00F948DB" w:rsidP="00106EAB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по договору 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(периодическая или единовременная) назначаются Участнику при наличии средств, учтённых на счёте долгосрочных сбережений, открытом Фондом в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отношении указанного Участника, со дня обращения за ними, но не ранее чем со дня возникновения права на получение указанных выплат. </w:t>
            </w:r>
          </w:p>
          <w:p w:rsidR="005819D8" w:rsidRPr="008176D8" w:rsidRDefault="00F948DB" w:rsidP="00766168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Выплата по договору ДС назначается на основании заявления Участника по форме, установленной Фондом, и предоставления соответствующих документов. Датой обращения Участника за назначением выплат по договору </w:t>
            </w:r>
            <w:r w:rsidR="0076616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считается дата регистрации Фондом заявления и документов, а при их направлении с использованием услуг почтовой связи - дата, указанная на почтовом штемпеле организации почтовой связи по месту отправления. Периодические выплаты по договору ДС осуществляются ежемесячно за текущий месяц не позднее последнего рабочего дня месяца.</w:t>
            </w:r>
            <w:r w:rsidR="00A14D02" w:rsidRPr="008176D8" w:rsidDel="00A14D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176D8" w:rsidRPr="008176D8" w:rsidTr="00CE7C51">
        <w:trPr>
          <w:trHeight w:val="699"/>
        </w:trPr>
        <w:tc>
          <w:tcPr>
            <w:tcW w:w="426" w:type="dxa"/>
          </w:tcPr>
          <w:p w:rsidR="005C32DC" w:rsidRPr="008176D8" w:rsidRDefault="007D6E21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5C32DC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8176D8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 (особенности) </w:t>
            </w:r>
            <w:r w:rsidR="00A8651F" w:rsidRPr="008176D8">
              <w:rPr>
                <w:rFonts w:ascii="Times New Roman" w:hAnsi="Times New Roman" w:cs="Times New Roman"/>
                <w:sz w:val="20"/>
                <w:szCs w:val="20"/>
              </w:rPr>
              <w:t>продукта/услуги</w:t>
            </w:r>
          </w:p>
        </w:tc>
        <w:tc>
          <w:tcPr>
            <w:tcW w:w="8221" w:type="dxa"/>
          </w:tcPr>
          <w:p w:rsidR="002C05A7" w:rsidRPr="008176D8" w:rsidRDefault="00050A61" w:rsidP="00160BD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Вкладчики, заключившие с Фондом договор </w:t>
            </w:r>
            <w:r w:rsidR="00BA57CF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, имеют право на получение государственной поддержки формирования долгосрочных сбережений в виде дополнительных стимулирующих взносов в порядке, установленном законодательством Российской Федерации. </w:t>
            </w:r>
            <w:r w:rsidR="002C05A7"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Право на получение</w:t>
            </w:r>
            <w:r w:rsidR="002C05A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5A7"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государственной поддержки (софинансирования)</w:t>
            </w:r>
            <w:r w:rsidR="002C05A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в текущем календарном году</w:t>
            </w:r>
            <w:r w:rsidR="0082383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Вкладчикам, уплатившим в предыдущем календарном году сберегательные взносы по договору (договорам) ДС в сумме не менее 2 000 рублей без учета суммы единовременного взноса, а также выкупных сумм, полученных от другого НПФ.</w:t>
            </w:r>
          </w:p>
          <w:p w:rsidR="00B42A46" w:rsidRPr="008176D8" w:rsidRDefault="00397130" w:rsidP="00E43B1D">
            <w:pPr>
              <w:pStyle w:val="a3"/>
              <w:spacing w:line="360" w:lineRule="auto"/>
              <w:ind w:firstLine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поддержка формирования долгосрочных сбережений предусмотрена в течение </w:t>
            </w:r>
            <w:r w:rsidR="009F5C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лет начиная с года, следующего за годом </w:t>
            </w:r>
            <w:r w:rsidR="003109DB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уплаты </w:t>
            </w:r>
            <w:r w:rsidR="00E42A33" w:rsidRPr="008176D8">
              <w:rPr>
                <w:rFonts w:ascii="Times New Roman" w:hAnsi="Times New Roman" w:cs="Times New Roman"/>
                <w:sz w:val="20"/>
                <w:szCs w:val="20"/>
              </w:rPr>
              <w:t>Вкладчиком</w:t>
            </w:r>
            <w:r w:rsidR="003109DB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первого по дате уплате сберегательного взноса (за исключением единовременного взноса и выкупных сумм, полученных от другого НПФ). Максимально возможный размер участия государства в софинансировании составляет 36 000 рублей в год.</w:t>
            </w:r>
          </w:p>
          <w:p w:rsidR="00297EF2" w:rsidRPr="008176D8" w:rsidRDefault="00050A61" w:rsidP="00160BD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Вкладчики, заключившие с Фондом договор </w:t>
            </w:r>
            <w:r w:rsidR="00E43B1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в свою пользу, до обращения за установлением накопительной пенсии, срочной пенсионной выплаты, единовременной выплаты средств пенсионных накоплений имеют право перевести средства пенсионных нако</w:t>
            </w:r>
            <w:r w:rsidR="00161F1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плений, сформированные в Фонде,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 состав средств пенсионных резервов в качестве </w:t>
            </w: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единовременного взноса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долгосрочных сбережений в порядке, установленном законода</w:t>
            </w:r>
            <w:r w:rsidR="00161F1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тельством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Федерации.</w:t>
            </w:r>
          </w:p>
          <w:p w:rsidR="00297EF2" w:rsidRPr="008176D8" w:rsidRDefault="00050A61" w:rsidP="00160BD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F1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перевода средств пенсионных накоплений в качестве единовременного взноса по договору </w:t>
            </w:r>
            <w:r w:rsidR="002575EE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161F1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накопительной пенсии прекращается. Выплаты по основаниям, установленным для назначения накопите</w:t>
            </w:r>
            <w:r w:rsidR="00601129" w:rsidRPr="008176D8">
              <w:rPr>
                <w:rFonts w:ascii="Times New Roman" w:hAnsi="Times New Roman" w:cs="Times New Roman"/>
                <w:sz w:val="20"/>
                <w:szCs w:val="20"/>
              </w:rPr>
              <w:t>льной пенсии, не осуществляются; в</w:t>
            </w:r>
            <w:r w:rsidR="00161F17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замен Участник приобретает право на получение выплат по договору </w:t>
            </w:r>
            <w:r w:rsidR="00444A06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2575EE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549A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2A46" w:rsidRPr="008176D8" w:rsidRDefault="00297EF2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Основаниями назначения выплат по договорам долгосрочных сбережений являются основания приобретения участником права на получение выплат по договору ДС, установленные договором ДС в соответствии с Правилами и Федеральным законом «О негосударственных пенсионных фондах».</w:t>
            </w:r>
          </w:p>
          <w:p w:rsidR="00297EF2" w:rsidRPr="008176D8" w:rsidRDefault="00297EF2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до обращения за назначением выплат по договору ДС </w:t>
            </w: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возникновении особых жизненных ситуаций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вправе обратиться в Фонд за выплатой выкупной суммы без расторжения договора ДС в размере, указанном в заявлении Участника о выплате выкупной суммы, но не превышающем размера остатка средств на счете долгосрочных сбережений. Порядок выплаты выкупной суммы устанавливается Правительством Российской Федерации.</w:t>
            </w:r>
          </w:p>
          <w:p w:rsidR="00A756FB" w:rsidRPr="002B6810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положения об отражении результата размещения пенсионных резервов на счете долгосрочных сбережений: </w:t>
            </w:r>
          </w:p>
          <w:p w:rsidR="00A756FB" w:rsidRPr="008176D8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 Фонд обязан ежегодно отражать на счете долгосрочных сбережений результат размещения средств пенсионных</w:t>
            </w:r>
            <w:r w:rsidR="00766168">
              <w:rPr>
                <w:rFonts w:ascii="Times New Roman" w:hAnsi="Times New Roman" w:cs="Times New Roman"/>
                <w:sz w:val="20"/>
                <w:szCs w:val="20"/>
              </w:rPr>
              <w:t xml:space="preserve"> резервов за год, который </w:t>
            </w:r>
            <w:proofErr w:type="gramStart"/>
            <w:r w:rsidR="00766168">
              <w:rPr>
                <w:rFonts w:ascii="Times New Roman" w:hAnsi="Times New Roman" w:cs="Times New Roman"/>
                <w:sz w:val="20"/>
                <w:szCs w:val="20"/>
              </w:rPr>
              <w:t xml:space="preserve">может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proofErr w:type="gram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как положительным, так и отрицательным;</w:t>
            </w:r>
          </w:p>
          <w:p w:rsidR="00A756FB" w:rsidRPr="008176D8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случае если суммарная величина результатов размещения пенсионных резервов за текущий период гарантийного восполнения, отраженная на счете долгосрочных сбережений, является отрицательной, Фонд обязан восполнить счет долгосрочных сбережений на величину этого результата;</w:t>
            </w:r>
          </w:p>
          <w:p w:rsidR="00297EF2" w:rsidRPr="008176D8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 размер и (или) продолжительность периодических выплат по договорам ДС, назначенных Участникам, не могут быть уменьшены в результате получения Фондом убытка от размещения пенсионных резервов.</w:t>
            </w:r>
          </w:p>
          <w:p w:rsidR="008A1380" w:rsidRPr="008176D8" w:rsidRDefault="008A1380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Период гарантийного восполнения по договору ДС составляет 5 лет. Период гарантийного восполнения отсчитывается, начиная с календарного года, в котором на счете долгосрочных сбережений отражен первый сберегательный взнос.</w:t>
            </w:r>
          </w:p>
          <w:p w:rsidR="004549A2" w:rsidRPr="008176D8" w:rsidRDefault="004549A2">
            <w:pPr>
              <w:pStyle w:val="a3"/>
              <w:spacing w:line="36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договора ДС:</w:t>
            </w:r>
          </w:p>
          <w:p w:rsidR="00667517" w:rsidRPr="008176D8" w:rsidRDefault="00667517" w:rsidP="00667517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Размер сберегательных взносов, уплачиваемых Вкладчиком за календарный год (без учета единовременного взноса и дополнительного стимулирующего взноса) составляет не менее 36 000 (Тридцати шести тысяч) рублей;</w:t>
            </w:r>
          </w:p>
          <w:p w:rsidR="00667517" w:rsidRPr="008176D8" w:rsidRDefault="00667517" w:rsidP="00667517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eastAsia="MS Mincho" w:hAnsi="Times New Roman"/>
                <w:sz w:val="20"/>
                <w:szCs w:val="20"/>
              </w:rPr>
              <w:t>Сроки и периодичность уплаты сберегательных взносов: разовый или произвольные взносы в течение календарного года;</w:t>
            </w:r>
          </w:p>
          <w:p w:rsidR="004549A2" w:rsidRPr="008176D8" w:rsidRDefault="00667517" w:rsidP="00667517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Продолжительность внесения сберегательных взносов: в течение срока осуществления государственной поддержки формирования долгосрочных сбережений, установленного Федеральным законом «О негосударственных пенсионных фондах».</w:t>
            </w:r>
          </w:p>
          <w:p w:rsidR="004549A2" w:rsidRPr="002B6810" w:rsidRDefault="004549A2" w:rsidP="004549A2">
            <w:pPr>
              <w:pStyle w:val="a3"/>
              <w:spacing w:line="360" w:lineRule="auto"/>
              <w:ind w:firstLine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Виды выплат по договору ДС:</w:t>
            </w:r>
          </w:p>
          <w:p w:rsidR="004549A2" w:rsidRPr="008176D8" w:rsidRDefault="004549A2" w:rsidP="004549A2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пожизненные периодические выплаты;</w:t>
            </w:r>
          </w:p>
          <w:p w:rsidR="00667517" w:rsidRPr="008176D8" w:rsidRDefault="004549A2" w:rsidP="004549A2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срочные периодические выплаты</w:t>
            </w:r>
            <w:r w:rsidR="00667517" w:rsidRPr="008176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7517" w:rsidRPr="008176D8" w:rsidRDefault="00667517" w:rsidP="00667517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 на срок не менее 3 лет (36 месяцев) со дня их назначения (в случае отсутствия средств пенсионных накоплений Вкладчика (Участника), учитываемых на пенсионном счете накопительной пенсии застрахованного лица, формирующихся в Фонде, и переведенных в состав средств пенсионных резервов в каче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>стве единовременного взноса по д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оговору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67517" w:rsidRPr="008176D8" w:rsidRDefault="00667517" w:rsidP="00667517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- на срок не менее 4 лет (48 месяцев) со дня их назначения (срочные периодические выплаты) (при соблюдении Вкладчиком порядка уплаты сберегательных взносов, установленного 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оговором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и в случае перевода средств пенсионных накоплений Вкладчика (Участника), учитываемых на пенсионном счете накопительной пенсии застрахованного лица, формирующихся в Фонде, в состав средств пенсионных резервов в каче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>стве единовременного взноса по д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оговору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549A2" w:rsidRPr="008176D8" w:rsidRDefault="00667517" w:rsidP="00667517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- на срок не менее 5 лет (60 месяцев) со дня их назначения (в случае перевода средств пенсионных накоплений Вкладчика (Участника), учитываемых на пенсионном счете накопительной пенсии застрахованного лица, формирующихся в Фонде, в состав средств пенсионных резервов в каче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>стве единовременного взноса по д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оговору</w:t>
            </w:r>
            <w:r w:rsidR="008176D8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A1380" w:rsidRPr="008176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549A2" w:rsidRPr="008176D8" w:rsidRDefault="00BA57CF" w:rsidP="004549A2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выплата, осуществляемая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истечении</w:t>
            </w:r>
            <w:r w:rsidRPr="00DC0B3B">
              <w:rPr>
                <w:rFonts w:ascii="Times New Roman" w:hAnsi="Times New Roman" w:cs="Times New Roman"/>
                <w:sz w:val="20"/>
                <w:szCs w:val="20"/>
              </w:rPr>
              <w:t xml:space="preserve"> 15 лет с наиболее ранней даты заключения 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 в пользу У</w:t>
            </w:r>
            <w:r w:rsidRPr="00DC0B3B">
              <w:rPr>
                <w:rFonts w:ascii="Times New Roman" w:hAnsi="Times New Roman" w:cs="Times New Roman"/>
                <w:sz w:val="20"/>
                <w:szCs w:val="20"/>
              </w:rPr>
              <w:t>частника</w:t>
            </w:r>
            <w:r w:rsidR="004549A2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49A2" w:rsidRPr="008176D8" w:rsidRDefault="004549A2" w:rsidP="004549A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Федерации, Участнику осуществляется единовременная выплата по договору </w:t>
            </w:r>
            <w:r w:rsidR="00BA57CF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остатка средств на счете долгосрочных сбережений Участника.</w:t>
            </w:r>
          </w:p>
          <w:p w:rsidR="00B42A46" w:rsidRPr="008176D8" w:rsidRDefault="004549A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периодических выплат по договору ДС при их назначении рассчитывается по формуле, установленной Правилами. Размер пожизненных периодических выплат и срочных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периодических выплат с 1 июля каждого года подлежит корректировке по формуле, установленной Правилами.</w:t>
            </w:r>
          </w:p>
          <w:p w:rsidR="005C32DC" w:rsidRPr="008176D8" w:rsidRDefault="004549A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Договор ДС может быть расторгнут по инициативе Вкладчика</w:t>
            </w:r>
            <w:r w:rsidR="00AB33F0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 (или) Участника</w:t>
            </w:r>
            <w:r w:rsidR="0000040B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AB33F0" w:rsidRPr="008176D8">
              <w:rPr>
                <w:rFonts w:ascii="Times New Roman" w:hAnsi="Times New Roman" w:cs="Times New Roman"/>
                <w:sz w:val="20"/>
                <w:szCs w:val="20"/>
              </w:rPr>
              <w:t>обращения Участника за назначением выплаты по договору долгосрочных сбережений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. В этом случае выкупная сумма выплачивается </w:t>
            </w:r>
            <w:r w:rsidR="00AB33F0" w:rsidRPr="008176D8">
              <w:rPr>
                <w:rFonts w:ascii="Times New Roman" w:hAnsi="Times New Roman" w:cs="Times New Roman"/>
                <w:sz w:val="20"/>
                <w:szCs w:val="20"/>
              </w:rPr>
              <w:t>в пределах части остатка средств на счете долгосрочных сбережений Участника, превышающей размер единовременного взноса и дополнительных стимулирующих взносов, а также положительного результата от их размещения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76D8" w:rsidRPr="008176D8" w:rsidTr="00CE7C51">
        <w:trPr>
          <w:trHeight w:val="1116"/>
        </w:trPr>
        <w:tc>
          <w:tcPr>
            <w:tcW w:w="426" w:type="dxa"/>
          </w:tcPr>
          <w:p w:rsidR="005C32DC" w:rsidRPr="008176D8" w:rsidRDefault="007D6E21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C32DC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8176D8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Прекращение действия договора</w:t>
            </w:r>
          </w:p>
          <w:p w:rsidR="005C32DC" w:rsidRPr="008176D8" w:rsidRDefault="00CD418A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5C32DC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34F" w:rsidRPr="008176D8">
              <w:rPr>
                <w:rFonts w:ascii="Times New Roman" w:hAnsi="Times New Roman" w:cs="Times New Roman"/>
                <w:sz w:val="20"/>
                <w:szCs w:val="20"/>
              </w:rPr>
              <w:t>и(или) получение выкупной суммы</w:t>
            </w:r>
          </w:p>
        </w:tc>
        <w:tc>
          <w:tcPr>
            <w:tcW w:w="8221" w:type="dxa"/>
          </w:tcPr>
          <w:p w:rsidR="005C32DC" w:rsidRPr="002B6810" w:rsidRDefault="005C32DC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  <w:r w:rsidR="00260A93"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3BF"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ДС </w:t>
            </w: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прекращает свое действие в случае:</w:t>
            </w:r>
          </w:p>
          <w:p w:rsidR="008E5776" w:rsidRPr="008176D8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76D8">
              <w:rPr>
                <w:rFonts w:ascii="Times New Roman" w:hAnsi="Times New Roman" w:cs="Times New Roman"/>
                <w:color w:val="auto"/>
              </w:rPr>
              <w:t>полного (надлежащего) исполнения Фондом принятых на себя обязательств;</w:t>
            </w:r>
          </w:p>
          <w:p w:rsidR="008E5776" w:rsidRPr="008176D8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76D8">
              <w:rPr>
                <w:rFonts w:ascii="Times New Roman" w:hAnsi="Times New Roman" w:cs="Times New Roman"/>
                <w:color w:val="auto"/>
              </w:rPr>
              <w:t>расторжения договора ДС;</w:t>
            </w:r>
          </w:p>
          <w:p w:rsidR="008E5776" w:rsidRPr="008176D8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76D8">
              <w:rPr>
                <w:rFonts w:ascii="Times New Roman" w:hAnsi="Times New Roman" w:cs="Times New Roman"/>
                <w:color w:val="auto"/>
              </w:rPr>
              <w:t>в случае смерти вкладчика - физического лица, заключившего договор долгосрочных сбережений в свою пользу;</w:t>
            </w:r>
          </w:p>
          <w:p w:rsidR="005C32DC" w:rsidRPr="008176D8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76D8">
              <w:rPr>
                <w:rFonts w:ascii="Times New Roman" w:hAnsi="Times New Roman" w:cs="Times New Roman"/>
                <w:color w:val="auto"/>
              </w:rPr>
              <w:t>иных случаях, установленных законодательством Российской Федерации и договором долгосрочных сбережений.</w:t>
            </w:r>
          </w:p>
          <w:p w:rsidR="00BE3FC1" w:rsidRPr="008176D8" w:rsidRDefault="00952FF9" w:rsidP="00106EA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Вкладчик до обращения Участника за назначением выплат по договору ДС вправе обратиться в Фонд с целью расторжения договора ДС с выплатой выкупной суммы.</w:t>
            </w:r>
          </w:p>
          <w:p w:rsidR="009C508D" w:rsidRPr="008176D8" w:rsidRDefault="00077D2D" w:rsidP="00E43B1D">
            <w:pPr>
              <w:spacing w:line="360" w:lineRule="auto"/>
              <w:ind w:firstLine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выкупной суммы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08D" w:rsidRPr="008176D8">
              <w:rPr>
                <w:rFonts w:ascii="Times New Roman" w:hAnsi="Times New Roman" w:cs="Times New Roman"/>
                <w:sz w:val="20"/>
                <w:szCs w:val="20"/>
              </w:rPr>
              <w:t>(за исключением случаев обращения за выкупной суммой по причине возникнове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ния особых жизненных ситуаций) </w:t>
            </w:r>
            <w:r w:rsidR="009C508D" w:rsidRPr="008176D8">
              <w:rPr>
                <w:rFonts w:ascii="Times New Roman" w:hAnsi="Times New Roman" w:cs="Times New Roman"/>
                <w:sz w:val="20"/>
                <w:szCs w:val="20"/>
              </w:rPr>
              <w:t>производится по формуле:</w:t>
            </w:r>
          </w:p>
          <w:p w:rsidR="009C508D" w:rsidRPr="008176D8" w:rsidRDefault="009C508D" w:rsidP="00106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>W =</w:t>
            </w:r>
            <w:r w:rsidRPr="008176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К1 * (Р) + К2 * (I + R)</w:t>
            </w:r>
          </w:p>
          <w:p w:rsidR="009C508D" w:rsidRPr="008176D8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9C508D" w:rsidRPr="008176D8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W — выкупная сумма, рублей;</w:t>
            </w:r>
          </w:p>
          <w:p w:rsidR="009C508D" w:rsidRPr="008176D8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Р — остаток сберегательных взносов, уплаченных вкладчиком в пользу участника по договору </w:t>
            </w:r>
            <w:r w:rsidR="003B2045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и отраженных на счете долгосрочных сбережений на дату расчета выкупной суммы;</w:t>
            </w:r>
          </w:p>
          <w:p w:rsidR="009C508D" w:rsidRPr="008176D8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I — остаток результата от размещения сберегательных взносов, уплаченных вкладчиком в пользу участника по договору </w:t>
            </w:r>
            <w:r w:rsidR="003B2045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 отраженных на счете долгосрочных сбережений на дату расчета выкупной суммы;</w:t>
            </w:r>
          </w:p>
          <w:p w:rsidR="009C508D" w:rsidRPr="008176D8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R — остаток осуществленных гарантийных восполнений в отношении сберегательных взносов, уплаченных вкладчиком в пользу участника по договору </w:t>
            </w:r>
            <w:r w:rsidR="003B2045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ДС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и отраженных на счете долгосрочных сбережений на дату расчета выкупной суммы;</w:t>
            </w:r>
          </w:p>
          <w:p w:rsidR="009C508D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К1, К2 — коэффициенты, установленные договором </w:t>
            </w:r>
            <w:r w:rsidR="003B2045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. Коэффициенты K1, К2 могут принимать значения в пределах от 0 до 1. Если значения коэффициентов не установлены договором </w:t>
            </w:r>
            <w:r w:rsidR="003B2045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то их значения определяются в соответствии с Таблицей:</w:t>
            </w:r>
          </w:p>
          <w:p w:rsidR="001A00A0" w:rsidRPr="008176D8" w:rsidRDefault="001A00A0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Overlap w:val="never"/>
              <w:tblW w:w="775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1843"/>
              <w:gridCol w:w="1701"/>
              <w:gridCol w:w="1701"/>
              <w:gridCol w:w="1984"/>
            </w:tblGrid>
            <w:tr w:rsidR="008176D8" w:rsidRPr="008176D8" w:rsidTr="00106EAB">
              <w:trPr>
                <w:trHeight w:hRule="exact" w:val="705"/>
                <w:jc w:val="center"/>
              </w:trPr>
              <w:tc>
                <w:tcPr>
                  <w:tcW w:w="52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rPr>
                      <w:rFonts w:ascii="Times New Roman" w:eastAsia="Courier New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722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234F" w:rsidRPr="008176D8" w:rsidRDefault="0017234F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Период времени от даты уплаты первого сберегательного взноса до даты расторжения договора долгосрочных сбережений (выплаты выкупной суммы)</w:t>
                  </w:r>
                </w:p>
              </w:tc>
            </w:tr>
            <w:tr w:rsidR="008176D8" w:rsidRPr="008176D8" w:rsidTr="00106EAB">
              <w:trPr>
                <w:trHeight w:hRule="exact" w:val="626"/>
                <w:jc w:val="center"/>
              </w:trPr>
              <w:tc>
                <w:tcPr>
                  <w:tcW w:w="524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rPr>
                      <w:rFonts w:ascii="Times New Roman" w:eastAsia="Courier New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от 1 дня до 5 лет включительно</w:t>
                  </w:r>
                </w:p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 xml:space="preserve">от 5 лет и 1 дня </w:t>
                  </w:r>
                </w:p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до 6 лет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 xml:space="preserve">от 6 лет и 1 дня </w:t>
                  </w:r>
                </w:p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до 7 лет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от 7 лет и</w:t>
                  </w:r>
                </w:p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 дня</w:t>
                  </w:r>
                </w:p>
              </w:tc>
            </w:tr>
            <w:tr w:rsidR="008176D8" w:rsidRPr="008176D8" w:rsidTr="00106EAB">
              <w:trPr>
                <w:trHeight w:hRule="exact" w:val="264"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8176D8" w:rsidRDefault="0017234F" w:rsidP="00AB33F0">
                  <w:pPr>
                    <w:widowControl w:val="0"/>
                    <w:spacing w:after="0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К1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</w:tr>
            <w:tr w:rsidR="008176D8" w:rsidRPr="008176D8" w:rsidTr="00106EAB">
              <w:trPr>
                <w:trHeight w:hRule="exact" w:val="283"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К2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0,75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234F" w:rsidRPr="008176D8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8176D8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0,8</w:t>
                  </w:r>
                </w:p>
              </w:tc>
            </w:tr>
          </w:tbl>
          <w:p w:rsidR="00253E14" w:rsidRPr="008176D8" w:rsidRDefault="00253E14" w:rsidP="00106E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AEA" w:rsidRPr="008176D8" w:rsidRDefault="00E43B1D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При выплате выкупной суммы Фонд выступает налоговым агентом и удерживает налог на доходы физических лиц (далее-НДФЛ) в соответствии с п.2.</w:t>
            </w:r>
            <w:r w:rsidR="00766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ст.213.1 Налогового кодекса Российской Федерации</w:t>
            </w:r>
            <w:r w:rsidR="00F762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B1D" w:rsidRPr="008176D8" w:rsidRDefault="00E43B1D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НДФЛ удерживается при выплате выкупной суммы:</w:t>
            </w:r>
          </w:p>
          <w:p w:rsidR="00E43B1D" w:rsidRPr="008176D8" w:rsidRDefault="00E43B1D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- с суммы инвестиционного дохода за весь период действия </w:t>
            </w:r>
            <w:r w:rsidR="00E646FD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договора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A5507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762D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55072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2 ст.213.1 Налогового кодекса РФ);</w:t>
            </w:r>
          </w:p>
          <w:p w:rsidR="00A55072" w:rsidRPr="008176D8" w:rsidRDefault="00A55072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с уплаченных Вкладчиком сберегательных взносов, в случае </w:t>
            </w:r>
            <w:proofErr w:type="spellStart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непредоставления</w:t>
            </w:r>
            <w:proofErr w:type="spell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справок из ИФНС о подтверждении неполучения социального налогового вычета на долгосрочные сбережения, за исключением случаев, указанных в </w:t>
            </w:r>
            <w:r w:rsidR="00F762D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2 ст.213.1 Налогового кодекса РФ.</w:t>
            </w:r>
          </w:p>
          <w:p w:rsidR="00A55072" w:rsidRPr="008176D8" w:rsidRDefault="00A55072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НДФЛ не удерживается при формировании выкупной суммы, выплачиваемой правопреемникам.</w:t>
            </w:r>
          </w:p>
          <w:p w:rsidR="00AB19D4" w:rsidRPr="008176D8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по договору </w:t>
            </w:r>
            <w:r w:rsidR="00E43B1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до обращения Участника за установлением выплаты по договору </w:t>
            </w:r>
            <w:r w:rsidR="00E43B1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вправе расторгнуть договор </w:t>
            </w:r>
            <w:r w:rsidR="00E43B1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с переводом выкупной суммы в качестве сберегательного взноса по иному договору долгосрочных сбережений, заключенному в пользу того же участника с другим негосударственным пенсионным фондом.</w:t>
            </w:r>
          </w:p>
          <w:p w:rsidR="00AB19D4" w:rsidRPr="008176D8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расторжении договора </w:t>
            </w:r>
            <w:r w:rsidR="00E43B1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 переводе выкупной суммы в другой негосударственный пенсионный фонд и копия договора долгосрочных сбережений, заключенного в пользу того же Участника с другим негосударственным пенсионным фондом, подаются </w:t>
            </w:r>
            <w:r w:rsidR="004A15EC" w:rsidRPr="008176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кладчиком в Фонд не позднее 1 декабря текущего года.</w:t>
            </w:r>
          </w:p>
          <w:p w:rsidR="00AB19D4" w:rsidRPr="008176D8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расторжении договора </w:t>
            </w:r>
            <w:r w:rsidR="00E43B1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 переводе выкупной суммы в другой негосударственный пенсионный фонд подлежит рассмотрению Фондом в срок до 1 марта года, следующего за годом,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фонд.</w:t>
            </w:r>
          </w:p>
          <w:p w:rsidR="00AB19D4" w:rsidRPr="008176D8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Вкладчиком в Фонд в течение установленного срока более одного заявления о расторжении договора </w:t>
            </w:r>
            <w:r w:rsidR="00E646F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 переводе выкупной суммы в другой негосударственный пенсионный фонд, Фонд принимает решение об удовлетворении заявления по заявлению с самой поздней датой поступления в Фонд.</w:t>
            </w:r>
          </w:p>
          <w:p w:rsidR="00AB19D4" w:rsidRPr="008176D8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по договору </w:t>
            </w:r>
            <w:r w:rsidR="00E646F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в срок до 31 декабря года,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фонд, имеет право подать в Фонд уведомление об отказе от расторжения договора </w:t>
            </w:r>
            <w:r w:rsidR="00E646F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. В этом случае все заявления о расторжении договора </w:t>
            </w:r>
            <w:r w:rsidR="00E646FD" w:rsidRPr="008176D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 о переводе выкупной суммы в другой негосударственный пенсионный фонд, поданные ранее указанного уведомления, оставляются Фондом без рассмотрения.</w:t>
            </w:r>
          </w:p>
          <w:p w:rsidR="00AB19D4" w:rsidRPr="008176D8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Остаток средств на счете долгосрочных сбережений участника подлежит передаче Фондом в соответствии с настоящим пунктом Правил в выбранный вкладчиком негосударственный пенсионный фонд не позднее 31 марта года, следующего за годом,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фонд.</w:t>
            </w:r>
          </w:p>
          <w:p w:rsidR="0084541F" w:rsidRPr="008176D8" w:rsidRDefault="0084541F" w:rsidP="0084541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При расторжении договора ДС единовременный взнос и доход от его размещения подлежат переводу в качестве сберегательных взносов по договору долгосрочных сбережений, заключенному в пользу того же Участника с иным негосударственным пенсионным фондом.</w:t>
            </w:r>
            <w:r w:rsidR="009F5C53">
              <w:t xml:space="preserve"> </w:t>
            </w:r>
            <w:r w:rsidR="009F5C53" w:rsidRPr="009F5C53">
              <w:rPr>
                <w:rFonts w:ascii="Times New Roman" w:hAnsi="Times New Roman" w:cs="Times New Roman"/>
                <w:sz w:val="20"/>
                <w:szCs w:val="20"/>
              </w:rPr>
              <w:t>При передаче выкупной суммы в другой негосударственный пенсионный фонд НДФЛ не удерживается.</w:t>
            </w:r>
          </w:p>
          <w:p w:rsidR="004A15EC" w:rsidRPr="008176D8" w:rsidRDefault="004A15EC" w:rsidP="00E43B1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EC" w:rsidRPr="008176D8" w:rsidRDefault="00962AEA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смерти Участника (за исключением случая, когда Участник являлся получателем пожизненных периодических выплат) выкупная сумма выплачивается </w:t>
            </w: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правопреемникам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Участника. </w:t>
            </w:r>
            <w:r w:rsidR="004A15EC" w:rsidRPr="008176D8">
              <w:rPr>
                <w:rFonts w:ascii="Times New Roman" w:hAnsi="Times New Roman" w:cs="Times New Roman"/>
                <w:sz w:val="20"/>
                <w:szCs w:val="20"/>
              </w:rPr>
              <w:t>Правопреемники умершего участника имеют право на получение остатка средств на счете долгосрочных сбережений участника в следующих случаях:</w:t>
            </w:r>
          </w:p>
          <w:p w:rsidR="004A15EC" w:rsidRPr="008176D8" w:rsidRDefault="004A15EC" w:rsidP="00E43B1D">
            <w:pPr>
              <w:pStyle w:val="ad"/>
              <w:numPr>
                <w:ilvl w:val="0"/>
                <w:numId w:val="14"/>
              </w:numPr>
              <w:spacing w:line="360" w:lineRule="auto"/>
              <w:ind w:left="0" w:firstLine="3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76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если смерть участника наступила до назначения ему периодических выплат по договору </w:t>
            </w:r>
            <w:r w:rsidR="0076616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ДС</w:t>
            </w:r>
            <w:r w:rsidRPr="008176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4A15EC" w:rsidRPr="008176D8" w:rsidRDefault="004A15EC" w:rsidP="00E43B1D">
            <w:pPr>
              <w:pStyle w:val="ad"/>
              <w:numPr>
                <w:ilvl w:val="0"/>
                <w:numId w:val="14"/>
              </w:numPr>
              <w:spacing w:line="360" w:lineRule="auto"/>
              <w:ind w:left="0" w:firstLine="3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76D8">
              <w:rPr>
                <w:rFonts w:ascii="Times New Roman" w:hAnsi="Times New Roman" w:cs="Times New Roman"/>
                <w:color w:val="auto"/>
              </w:rPr>
              <w:t>если смерть участника наступила после назначения ему срочных периодических выплат по договору ДС.</w:t>
            </w:r>
          </w:p>
          <w:p w:rsidR="00064A12" w:rsidRPr="008176D8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выплате выкупной суммы правопреемникам Участника принимается Фондом не позднее последнего рабочего дня месяца, следующего за месяцем, в котором истек шестимесячный срок со дня смерти участника. </w:t>
            </w:r>
          </w:p>
          <w:p w:rsidR="00064A12" w:rsidRPr="008176D8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Если иной срок выплаты правопреемникам не установлен договором </w:t>
            </w:r>
            <w:r w:rsidR="00BA57CF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Фонд производит выплаты правопреемникам в следующие сроки:</w:t>
            </w:r>
          </w:p>
          <w:p w:rsidR="00064A12" w:rsidRPr="008176D8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ab/>
              <w:t>до 1 000 001 рубля - в течение 60 (шестидесяти) дней с даты вынесения решения о выплате выкупной суммы правопреемникам;</w:t>
            </w:r>
          </w:p>
          <w:p w:rsidR="00064A12" w:rsidRPr="008176D8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ab/>
              <w:t>от 1 000 001 рубля до 10 000 001 рубля - в течение 90 (девяноста) дней с даты вынесения решения о выплате выкупной суммы правопреемникам;</w:t>
            </w:r>
          </w:p>
          <w:p w:rsidR="00F3181B" w:rsidRPr="008176D8" w:rsidRDefault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ab/>
              <w:t>от 10 000 001 рубля - в течение 120 (ста двадцати) дней с даты вынесения решения о выплате выкупной суммы правопреемникам</w:t>
            </w:r>
          </w:p>
          <w:p w:rsidR="00962AEA" w:rsidRPr="008176D8" w:rsidRDefault="00F3181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Оплата расходов, связанных с выплатой правопреемникам средств, отраженных на счете долгосрочных сбережений Участника, производится за счет собственных средств Фонда</w:t>
            </w:r>
            <w:r w:rsidR="00064A12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76D8" w:rsidRPr="008176D8" w:rsidTr="00C754F6">
        <w:trPr>
          <w:trHeight w:val="699"/>
        </w:trPr>
        <w:tc>
          <w:tcPr>
            <w:tcW w:w="426" w:type="dxa"/>
          </w:tcPr>
          <w:p w:rsidR="005C32DC" w:rsidRPr="008176D8" w:rsidRDefault="00C20E99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5C32DC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8176D8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Описание основных рисков услуги</w:t>
            </w:r>
          </w:p>
        </w:tc>
        <w:tc>
          <w:tcPr>
            <w:tcW w:w="8221" w:type="dxa"/>
          </w:tcPr>
          <w:p w:rsidR="002C05A7" w:rsidRPr="002B6810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Фонд обязан осуществлять проверку необходимости гарантийного восполнения резервов покрытия пенсионных обязательств:</w:t>
            </w:r>
          </w:p>
          <w:p w:rsidR="002C05A7" w:rsidRPr="008176D8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по окончании каждого периода гарантийного восполнения по счету долгосрочных сбережений участника, которому не назначены периодические выплаты или единовременная выплата по договору долгосрочных сбережений;</w:t>
            </w:r>
          </w:p>
          <w:p w:rsidR="002C05A7" w:rsidRPr="008176D8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при назначении периодических выплат или единовременной выплаты по договору долгосрочных сбережений;</w:t>
            </w:r>
          </w:p>
          <w:p w:rsidR="002C05A7" w:rsidRPr="008176D8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вкладчиком в </w:t>
            </w:r>
            <w:r w:rsidR="00B42A46" w:rsidRPr="008176D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онд заявления о переводе выкупной суммы в другой фонд;</w:t>
            </w:r>
          </w:p>
          <w:p w:rsidR="002C05A7" w:rsidRPr="008176D8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по окончании каждого года после назначения периодических выплат или единовременных выплат по договору долгосрочных сбережений.</w:t>
            </w:r>
          </w:p>
          <w:p w:rsidR="002C05A7" w:rsidRPr="008176D8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обнаружения по результатам такой проверки отрицательного результата размещения пенсионных резервов </w:t>
            </w:r>
            <w:r w:rsidR="00B42A46" w:rsidRPr="008176D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онд проводит гарантийное восполнение пенсионных резервов на величину этого отрицательного результата за счёт страхового резерва, а при его недостаточности - за счёт собственных средств </w:t>
            </w:r>
            <w:r w:rsidR="00B42A46" w:rsidRPr="008176D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онда;</w:t>
            </w:r>
          </w:p>
          <w:p w:rsidR="002C05A7" w:rsidRPr="008176D8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Гарантийное восполнение производится </w:t>
            </w:r>
            <w:r w:rsidR="00B42A46" w:rsidRPr="008176D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ондом после проверки. </w:t>
            </w:r>
          </w:p>
          <w:p w:rsidR="002C05A7" w:rsidRPr="008176D8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Фонд обязан отразить гарантийное восполнение на счете долгосрочных сбережений.</w:t>
            </w:r>
          </w:p>
          <w:p w:rsidR="00BC6FFF" w:rsidRPr="008176D8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гарантийного восполнения остаток средств на счете долгосрочных сбережений должен быть не менее остатка средств на начало закончившегося периода гарантийного восполнения за вычетом сумм начисленных выплат по договорам долгосрочных сбережений и (или) выкупной суммы.  </w:t>
            </w:r>
          </w:p>
          <w:p w:rsidR="005C32DC" w:rsidRPr="008176D8" w:rsidRDefault="00F62891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При размещении средств пенсионных резервов по договорам ДС возможно увеличение или уменьшение результата размещения пенсионных резервов. </w:t>
            </w:r>
            <w:r w:rsidR="00A3713C" w:rsidRPr="008176D8">
              <w:rPr>
                <w:rFonts w:ascii="Times New Roman" w:hAnsi="Times New Roman" w:cs="Times New Roman"/>
                <w:sz w:val="20"/>
                <w:szCs w:val="20"/>
              </w:rPr>
              <w:t>Размер результата размещения пенсионных резервов, отражаемого на счете, не фиксирован, минимально гарантированный доход договором ДС не предусмотрен.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62891" w:rsidRPr="008176D8" w:rsidRDefault="00F62891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Фонд обеспечивает безубыточность результатов управления пенсионными резервами (восполнение сумм, отраженных на счете долгосрочных сбережений) за каждый полный период гарантийного восполнения (5 лет).</w:t>
            </w:r>
          </w:p>
          <w:p w:rsidR="00BD1426" w:rsidRPr="008176D8" w:rsidRDefault="00BD1426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При досрочном расторжении договора ДС возможна потеря Вкладчиком (Участником) части уплаченных Вкладчиком сберегательных взносов и накопленного результата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пенсионных резервов в соответствии с установленными в договоре ДС коэффициентами.</w:t>
            </w:r>
          </w:p>
          <w:p w:rsidR="00106EAB" w:rsidRPr="008176D8" w:rsidRDefault="000D0724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Размер и (или) продолжительность периодической выплаты, назначенной участнику, не могут быть уменьшены в результате получения Фондом убытка от размещения пенсионных резервов</w:t>
            </w:r>
            <w:r w:rsidR="00106EAB"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6E01" w:rsidRDefault="00BD1426" w:rsidP="00766168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Начиная с года, следующего за годом, в котором Участнику назначена выплата по договору </w:t>
            </w:r>
            <w:r w:rsidR="0076616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или осуществлена выплата выкупной суммы по договору долгосрочных сбережений (за исключением выкупных сумм, выплаченных при возникновении особых жизненных ситуаций или переведенных в другой фонд</w:t>
            </w:r>
            <w:r w:rsidR="006964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964A5" w:rsidRPr="00ED46F3">
              <w:rPr>
                <w:rFonts w:ascii="Times New Roman" w:hAnsi="Times New Roman" w:cs="Times New Roman"/>
                <w:sz w:val="20"/>
                <w:szCs w:val="20"/>
              </w:rPr>
              <w:t>выкупных сумм, выплаченных правопреемникам, а также выкупных сумм, полученных по договорам долгосрочных сбережений, по которым не были уплачены дополнительные стимулирующие взносы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), право на получение государственной поддержки формирования долгосрочных сбережений прекращается по всем договорам </w:t>
            </w:r>
            <w:r w:rsidR="0076616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в том числе заключенным после указанной даты.</w:t>
            </w:r>
          </w:p>
          <w:p w:rsidR="006964A5" w:rsidRPr="008176D8" w:rsidRDefault="006964A5" w:rsidP="00766168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6F3">
              <w:rPr>
                <w:rFonts w:ascii="Times New Roman" w:hAnsi="Times New Roman" w:cs="Times New Roman"/>
                <w:sz w:val="20"/>
                <w:szCs w:val="20"/>
              </w:rPr>
              <w:t>В случае прекращения договора долгосрочных сбережений (за исключением случая расторжения договора долгосрочных сбережений в связи с переводом выкупной суммы в другой фонд) до 1 апреля года, следующего за годом, в котором вкладчик уплатил первый сберегательный взнос по указанному договору, право на получение государственной поддержки формирования долгосрочных сбережений по указанному договору не предоставляется. В этом случае ранее произведенная уплата сберегательных взносов по прекращенному договору долгосрочных сбережений не влечет начала течения срока государственной поддержки формирования долгосрочных сбережений, предусмотренного разделом 3 настоящего КИД.</w:t>
            </w:r>
          </w:p>
        </w:tc>
      </w:tr>
      <w:tr w:rsidR="008176D8" w:rsidRPr="008176D8" w:rsidTr="00160BDD">
        <w:trPr>
          <w:trHeight w:val="410"/>
        </w:trPr>
        <w:tc>
          <w:tcPr>
            <w:tcW w:w="426" w:type="dxa"/>
          </w:tcPr>
          <w:p w:rsidR="005C32DC" w:rsidRPr="008176D8" w:rsidRDefault="006F7939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C32DC" w:rsidRPr="00817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8176D8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Сборы и платежи, которые подлежат уплате получателем услуги</w:t>
            </w:r>
          </w:p>
        </w:tc>
        <w:tc>
          <w:tcPr>
            <w:tcW w:w="8221" w:type="dxa"/>
          </w:tcPr>
          <w:p w:rsidR="00B0061E" w:rsidRPr="008176D8" w:rsidRDefault="00672A26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Налогообложение сберегательных взносов, выплат по </w:t>
            </w:r>
            <w:r w:rsidR="004D3CD3" w:rsidRPr="008176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оговору ДС и выкупных сумм осуществляется в соответствии с законодательством Российской Федерации. </w:t>
            </w:r>
          </w:p>
          <w:p w:rsidR="00B42A46" w:rsidRPr="008176D8" w:rsidRDefault="00B42A46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договор ДС заключен в пользу третьего лица, не являющегося близким родственником из числа указанных в </w:t>
            </w:r>
            <w:r w:rsidR="00F762D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 1 ст.213.1 Налогового кодекса Российской Федерации, НДФЛ удерживается с выплат по договорам ДС на общих основаниях.</w:t>
            </w:r>
          </w:p>
          <w:p w:rsidR="00CC2BE7" w:rsidRDefault="00672A26" w:rsidP="00C754F6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По расходам на формирование долгосрочных сбережений предоставляется налоговый вычет на долгосрочные сбережения граждан в соответствии со ст. 219.2 НК РФ</w:t>
            </w:r>
            <w:r w:rsidR="00C1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2BC3" w:rsidRPr="008176D8" w:rsidRDefault="00C12BC3" w:rsidP="00C754F6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BC3">
              <w:rPr>
                <w:rFonts w:ascii="Times New Roman" w:hAnsi="Times New Roman" w:cs="Times New Roman"/>
                <w:sz w:val="20"/>
                <w:szCs w:val="20"/>
              </w:rPr>
              <w:t>При перечислении сберегательных взносов банком – плательщиком может взиматься комиссия за перевод денежных средств. Размер комиссии определяется тарифами банка.</w:t>
            </w:r>
          </w:p>
        </w:tc>
      </w:tr>
      <w:tr w:rsidR="008176D8" w:rsidRPr="008176D8" w:rsidTr="00CE7C51">
        <w:trPr>
          <w:trHeight w:val="1116"/>
        </w:trPr>
        <w:tc>
          <w:tcPr>
            <w:tcW w:w="426" w:type="dxa"/>
          </w:tcPr>
          <w:p w:rsidR="001633F2" w:rsidRPr="008176D8" w:rsidRDefault="001633F2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985" w:type="dxa"/>
          </w:tcPr>
          <w:p w:rsidR="001633F2" w:rsidRPr="008176D8" w:rsidRDefault="001633F2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Гарантирование прав участников и их правопреемников</w:t>
            </w:r>
          </w:p>
        </w:tc>
        <w:tc>
          <w:tcPr>
            <w:tcW w:w="8221" w:type="dxa"/>
          </w:tcPr>
          <w:p w:rsidR="00CC2BE7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Фонд включен в реестр негосударственных пенсионных фондов - участников системы гарантирования прав участников негосударственных пенсионных фондов в рамках деятельности по формированию долгосрочных сбережений.</w:t>
            </w:r>
          </w:p>
          <w:p w:rsidR="00CC2BE7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В случае признания Фонда банкротом и открытия в отношении него конкурсного производства или аннулирования лицензии Фонда Участники и их правопреемники имеют право на получение гарантийного возмещения по всем договорам долгосрочных сбережений, заключенным с НПФ, в размере не более 2 800 000 рублей. Размер гарантийного возмещения определяется на дату наступления гарантийного случая в соответствии с Федеральным законом от 28.12.2022 № 555-ФЗ «О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сбережений».</w:t>
            </w:r>
          </w:p>
          <w:p w:rsidR="00CC2BE7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Размер гарантийного возмещения определяется в соответствии с Законом № 555-ФЗ на дату наступления гарантийного случая и рассчитывается следующим образом:  </w:t>
            </w:r>
          </w:p>
          <w:p w:rsidR="00CC2BE7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- если Участнику не назначены периодические выплаты по договору долгосрочных сбережений и при этом участнику не установлена выкупная сумма или единовременная </w:t>
            </w: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выплата по договору долгосрочных сбережений, или выплата правопреемникам по договору долгосрочных сбережений, то размер гарантийного возмещения устанавливается в размере остатка средств на счете долгосрочных сбережений, но не более 2,8 млн. руб., единовременного взноса, дополнительных стимулирующих взносов и результата их размещения, отраженных на счете долгосрочных сбережений этого участника; </w:t>
            </w:r>
          </w:p>
          <w:p w:rsidR="00CC2BE7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- если Участнику (его правопреемнику) установлена, но не выплачена выкупная сумма или единовременная выплата по договору долгосрочных сбережений, то размер гарантийного возмещения устанавливается в размере выкупной суммы или единовременной выплаты, но не более остатка средств на счете долгосрочных сбережений и не более 2,8 млн. руб., единовременного взноса, дополнительных стимулирующих взносов и результата их размещения, отраженных на счете долгосрочных сбережений этого участника;</w:t>
            </w:r>
          </w:p>
          <w:p w:rsidR="00CC2BE7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- если Участнику назначены периодические выплаты по договору долгосрочных сбережений и при этом участнику или его правопреемнику не установлена выкупная сумма или единовременная выплата по договору долгосрочных сбережений, то размер гарантийного возмещения устанавливается в размере суммы достаточной для осуществления периодических выплат по договору долгосрочных сбережений участнику с той же периодичностью, на тот же срок и в том же размере, но не более четырехкратного размера социальной пенсии. Размер социальной пенсии можно узнать в отделении Социального фонда России или по запросу на сайте Социального фонда России. </w:t>
            </w:r>
          </w:p>
          <w:p w:rsidR="001633F2" w:rsidRPr="008176D8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Размер гарантийного возмещения, подлежащего выплате Участнику, правопреемнику Участника или передаче в другой негосударственный пенсионный фонд из фонда гарантирования пенсионных резервов, не может превышать установленных ограничений и предоставляется совокупно по всем договорам долгосрочных сбережений и договорам негосударственного пенсионного обеспечения, заключенным с НПФ.</w:t>
            </w:r>
          </w:p>
        </w:tc>
      </w:tr>
      <w:tr w:rsidR="008176D8" w:rsidRPr="008176D8" w:rsidTr="00CE7C51">
        <w:trPr>
          <w:trHeight w:val="460"/>
        </w:trPr>
        <w:tc>
          <w:tcPr>
            <w:tcW w:w="426" w:type="dxa"/>
          </w:tcPr>
          <w:p w:rsidR="00066C62" w:rsidRPr="008176D8" w:rsidRDefault="00066C62" w:rsidP="00066C6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85" w:type="dxa"/>
          </w:tcPr>
          <w:p w:rsidR="00066C62" w:rsidRPr="008176D8" w:rsidRDefault="00066C62" w:rsidP="00066C62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</w:p>
          <w:p w:rsidR="00066C62" w:rsidRPr="008176D8" w:rsidRDefault="00066C62" w:rsidP="00066C62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приема обращений получателей финансовых услуг</w:t>
            </w:r>
          </w:p>
        </w:tc>
        <w:tc>
          <w:tcPr>
            <w:tcW w:w="8221" w:type="dxa"/>
          </w:tcPr>
          <w:p w:rsidR="00926F98" w:rsidRPr="00D343F1" w:rsidRDefault="00926F98" w:rsidP="00926F98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Вкладчик, Участник может направить </w:t>
            </w:r>
            <w:r w:rsidRPr="002B6810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обращение в Фонд</w:t>
            </w: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 одним из следующих способов:</w:t>
            </w:r>
          </w:p>
          <w:p w:rsidR="00926F98" w:rsidRPr="00D343F1" w:rsidRDefault="00926F98" w:rsidP="00926F98">
            <w:pPr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Почтой России по адресу: 420061, г. Казань, ул. Н. Ершова, д.55Е;</w:t>
            </w:r>
          </w:p>
          <w:p w:rsidR="00926F98" w:rsidRPr="00D343F1" w:rsidRDefault="00926F98" w:rsidP="00926F98">
            <w:pPr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По электронной почте: </w:t>
            </w:r>
            <w:hyperlink r:id="rId5" w:history="1">
              <w:r w:rsidRPr="00D343F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info@volga-capital.ru</w:t>
              </w:r>
            </w:hyperlink>
            <w:r w:rsidRPr="00D343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</w:p>
          <w:p w:rsidR="00926F98" w:rsidRPr="00D343F1" w:rsidRDefault="00926F98" w:rsidP="00926F98">
            <w:pPr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На сайте Фонда через сервис «Консультация»;</w:t>
            </w:r>
          </w:p>
          <w:p w:rsidR="00926F98" w:rsidRPr="00D343F1" w:rsidRDefault="00926F98" w:rsidP="00926F98">
            <w:pPr>
              <w:pStyle w:val="a3"/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Лично в офисах Фонда, расположенных по адресам: </w:t>
            </w:r>
          </w:p>
          <w:p w:rsidR="00926F98" w:rsidRDefault="00926F98" w:rsidP="00926F98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420061, Республика Татарстан, г. Казань, ул. Н. Ершова, д. 55Е; </w:t>
            </w:r>
          </w:p>
          <w:p w:rsidR="001A00A0" w:rsidRPr="00D343F1" w:rsidRDefault="001A00A0" w:rsidP="00926F98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A0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Ершова, д. 57Б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6F98" w:rsidRPr="00E166C8" w:rsidRDefault="00926F98" w:rsidP="00926F98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420061, Республика </w:t>
            </w: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Татарстан, г. Казань, ул. Сеченова, д.3;</w:t>
            </w:r>
          </w:p>
          <w:p w:rsidR="00926F98" w:rsidRPr="00E166C8" w:rsidRDefault="00926F98" w:rsidP="00926F98">
            <w:pPr>
              <w:spacing w:line="36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 xml:space="preserve">420012, Республика Татарстан, г. Казань, ул. </w:t>
            </w:r>
            <w:proofErr w:type="spellStart"/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Муштари</w:t>
            </w:r>
            <w:proofErr w:type="spellEnd"/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  <w:r w:rsidRPr="00E16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6F98" w:rsidRPr="00E166C8" w:rsidRDefault="00926F98" w:rsidP="00926F98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 xml:space="preserve">428003, Чувашская </w:t>
            </w:r>
            <w:r w:rsidR="00221D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еспублика – Чувашия, г. Чебоксары, пр-т Московский, д.3;</w:t>
            </w:r>
          </w:p>
          <w:p w:rsidR="00926F98" w:rsidRPr="00E166C8" w:rsidRDefault="00926F98" w:rsidP="00926F98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 xml:space="preserve">423802, Республика Татарстан, г. Набережные Челны, ул. им. </w:t>
            </w:r>
            <w:proofErr w:type="spellStart"/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Батенчука</w:t>
            </w:r>
            <w:proofErr w:type="spellEnd"/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, д.18;</w:t>
            </w:r>
          </w:p>
          <w:p w:rsidR="00926F98" w:rsidRPr="00E166C8" w:rsidRDefault="00926F98" w:rsidP="00926F98">
            <w:pPr>
              <w:spacing w:line="36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423461, Республика Татарстан, г. Альметьевск, ул. Ленина, д.113А</w:t>
            </w:r>
            <w:r w:rsidRPr="00E16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26F98" w:rsidRPr="00D343F1" w:rsidRDefault="00926F98" w:rsidP="00926F98">
            <w:pPr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рассматривает обращение в течение 15 рабочих дней с даты его регистрации в Фонде. В случае необходимости запроса дополнительных документов и материалов в целях объективного и всестороннего рассмотрения обращения срок рассмотрения обращения может быть продлен не болеем чем на 10 рабочих дней </w:t>
            </w: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с обязательным уведомлением получателя финансовых услуг о продлении срока рассмотрения обращения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926F98" w:rsidRPr="00E166C8" w:rsidRDefault="00926F98" w:rsidP="00926F98">
            <w:pPr>
              <w:pStyle w:val="a3"/>
              <w:spacing w:line="360" w:lineRule="auto"/>
              <w:ind w:left="34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8">
              <w:rPr>
                <w:rFonts w:ascii="Times New Roman" w:hAnsi="Times New Roman" w:cs="Times New Roman"/>
                <w:sz w:val="20"/>
                <w:szCs w:val="20"/>
              </w:rPr>
              <w:t>Обращения Вкладчиков и Участников принимаются к рассмотрению (регистрируются) только Фондом. Направление/передача обращения агенту Фонда не является обращением в Фонд.</w:t>
            </w:r>
          </w:p>
          <w:p w:rsidR="001B223B" w:rsidRPr="008176D8" w:rsidRDefault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осуществляющая надзор за деятельностью НПФ – Центральный банк Российской Федерации (Банк России) 107016, </w:t>
            </w:r>
            <w:proofErr w:type="spellStart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Неглинная</w:t>
            </w:r>
            <w:proofErr w:type="spellEnd"/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, д.12.</w:t>
            </w:r>
          </w:p>
          <w:p w:rsidR="001B223B" w:rsidRPr="008176D8" w:rsidRDefault="001B223B" w:rsidP="001B223B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Служба по защите прав потребителей и обеспечению доступности финансовых услуг Банка России:</w:t>
            </w:r>
          </w:p>
          <w:p w:rsidR="001B223B" w:rsidRPr="008176D8" w:rsidRDefault="00ED6924" w:rsidP="001B223B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cbr</w:t>
              </w:r>
              <w:proofErr w:type="spellEnd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B223B" w:rsidRDefault="00ED6924">
            <w:pPr>
              <w:pStyle w:val="a3"/>
              <w:spacing w:line="360" w:lineRule="auto"/>
              <w:ind w:firstLine="317"/>
              <w:jc w:val="both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cbr</w:t>
              </w:r>
              <w:proofErr w:type="spellEnd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protection</w:t>
              </w:r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rights</w:t>
              </w:r>
              <w:r w:rsidR="001B223B" w:rsidRPr="008176D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67F05" w:rsidRPr="008176D8" w:rsidRDefault="00267F05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Вкладчик, Участник может письменно обратиться в Саморегулируемую организацию – Национальную ассоциацию негосударственных пенсионных фондов, членом которой является Фонд, по адресу: 121069, 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г.Москва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, Хлебный переулок, 19А, этаж 7. Адрес сайта: </w:t>
            </w:r>
            <w:hyperlink r:id="rId8" w:history="1">
              <w:r w:rsidRPr="00E41AD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https://www.napf.ru/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. Адрес электронной почты: 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info</w:t>
            </w:r>
            <w:r w:rsidRPr="002B68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@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napf</w:t>
            </w:r>
            <w:proofErr w:type="spellEnd"/>
            <w:r w:rsidRPr="002B68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ru</w:t>
            </w:r>
            <w:proofErr w:type="spellEnd"/>
          </w:p>
        </w:tc>
      </w:tr>
      <w:tr w:rsidR="008176D8" w:rsidRPr="008176D8" w:rsidTr="008176D8">
        <w:trPr>
          <w:trHeight w:val="2137"/>
        </w:trPr>
        <w:tc>
          <w:tcPr>
            <w:tcW w:w="426" w:type="dxa"/>
          </w:tcPr>
          <w:p w:rsidR="00066C62" w:rsidRPr="008176D8" w:rsidRDefault="00066C62" w:rsidP="00066C6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</w:tcPr>
          <w:p w:rsidR="00066C62" w:rsidRPr="008176D8" w:rsidRDefault="00066C62" w:rsidP="00066C6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Дополнительная релевантная информация</w:t>
            </w:r>
          </w:p>
        </w:tc>
        <w:tc>
          <w:tcPr>
            <w:tcW w:w="8221" w:type="dxa"/>
          </w:tcPr>
          <w:p w:rsidR="00066C62" w:rsidRPr="008176D8" w:rsidRDefault="00066C62" w:rsidP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Необходимо своевременно информировать Фонд об изменении своих данных (паспортных, контактных и т.д.), необходимых для исполнения Фондом своих обязательств по договору ДС.</w:t>
            </w:r>
          </w:p>
          <w:p w:rsidR="00066C62" w:rsidRPr="008176D8" w:rsidRDefault="00066C62" w:rsidP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ДС носит добровольный характер.</w:t>
            </w:r>
          </w:p>
          <w:p w:rsidR="00066C62" w:rsidRPr="008176D8" w:rsidRDefault="00066C62" w:rsidP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D8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до подписания (акцепта) договора ДС должен ознакомиться с содержанием Правил и договора ДС. </w:t>
            </w:r>
          </w:p>
        </w:tc>
      </w:tr>
    </w:tbl>
    <w:p w:rsidR="00AB33F0" w:rsidRPr="00CE7C51" w:rsidRDefault="00AB33F0" w:rsidP="00667517">
      <w:pPr>
        <w:spacing w:line="360" w:lineRule="auto"/>
        <w:rPr>
          <w:sz w:val="20"/>
          <w:szCs w:val="20"/>
        </w:rPr>
      </w:pPr>
    </w:p>
    <w:sectPr w:rsidR="00AB33F0" w:rsidRPr="00CE7C51" w:rsidSect="00160B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46B"/>
    <w:multiLevelType w:val="hybridMultilevel"/>
    <w:tmpl w:val="CB7E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449"/>
    <w:multiLevelType w:val="hybridMultilevel"/>
    <w:tmpl w:val="2FD20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2D92"/>
    <w:multiLevelType w:val="hybridMultilevel"/>
    <w:tmpl w:val="F5BCBE2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E6662A6"/>
    <w:multiLevelType w:val="hybridMultilevel"/>
    <w:tmpl w:val="78F6DF2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371264A1"/>
    <w:multiLevelType w:val="hybridMultilevel"/>
    <w:tmpl w:val="D7E296E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8CB06F8"/>
    <w:multiLevelType w:val="hybridMultilevel"/>
    <w:tmpl w:val="56E60F76"/>
    <w:lvl w:ilvl="0" w:tplc="5E1A6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43A46"/>
    <w:multiLevelType w:val="hybridMultilevel"/>
    <w:tmpl w:val="4C78EF3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405B3403"/>
    <w:multiLevelType w:val="hybridMultilevel"/>
    <w:tmpl w:val="D7A4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21E4"/>
    <w:multiLevelType w:val="hybridMultilevel"/>
    <w:tmpl w:val="C48A6CB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AEE4A21"/>
    <w:multiLevelType w:val="hybridMultilevel"/>
    <w:tmpl w:val="5742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6948"/>
    <w:multiLevelType w:val="hybridMultilevel"/>
    <w:tmpl w:val="66E84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E26A6"/>
    <w:multiLevelType w:val="hybridMultilevel"/>
    <w:tmpl w:val="BF8CDAA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6E1E4D8C"/>
    <w:multiLevelType w:val="hybridMultilevel"/>
    <w:tmpl w:val="6D12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7198E"/>
    <w:multiLevelType w:val="hybridMultilevel"/>
    <w:tmpl w:val="0F6C1A96"/>
    <w:lvl w:ilvl="0" w:tplc="86F0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A21E7"/>
    <w:multiLevelType w:val="hybridMultilevel"/>
    <w:tmpl w:val="8A8C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DA54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773BE"/>
    <w:multiLevelType w:val="hybridMultilevel"/>
    <w:tmpl w:val="1BBC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C"/>
    <w:rsid w:val="0000040B"/>
    <w:rsid w:val="0000290F"/>
    <w:rsid w:val="00013E9E"/>
    <w:rsid w:val="000262C0"/>
    <w:rsid w:val="00032FC5"/>
    <w:rsid w:val="00046F9E"/>
    <w:rsid w:val="00050A61"/>
    <w:rsid w:val="00055E6E"/>
    <w:rsid w:val="00064A12"/>
    <w:rsid w:val="00064E25"/>
    <w:rsid w:val="00065791"/>
    <w:rsid w:val="00066C62"/>
    <w:rsid w:val="0006701B"/>
    <w:rsid w:val="00077D2D"/>
    <w:rsid w:val="00080C2B"/>
    <w:rsid w:val="00085DFA"/>
    <w:rsid w:val="000A7ED1"/>
    <w:rsid w:val="000B152E"/>
    <w:rsid w:val="000D0724"/>
    <w:rsid w:val="000E1944"/>
    <w:rsid w:val="000E3F35"/>
    <w:rsid w:val="00101249"/>
    <w:rsid w:val="001069CB"/>
    <w:rsid w:val="00106EAB"/>
    <w:rsid w:val="00121A94"/>
    <w:rsid w:val="001260CD"/>
    <w:rsid w:val="00160BDD"/>
    <w:rsid w:val="00161F17"/>
    <w:rsid w:val="001633F2"/>
    <w:rsid w:val="00164ED8"/>
    <w:rsid w:val="0017088C"/>
    <w:rsid w:val="0017234F"/>
    <w:rsid w:val="001917EB"/>
    <w:rsid w:val="001A00A0"/>
    <w:rsid w:val="001A1CA7"/>
    <w:rsid w:val="001A6F1E"/>
    <w:rsid w:val="001B223B"/>
    <w:rsid w:val="001C5CF0"/>
    <w:rsid w:val="001F1010"/>
    <w:rsid w:val="002025BD"/>
    <w:rsid w:val="00212041"/>
    <w:rsid w:val="00216B1D"/>
    <w:rsid w:val="00221DD8"/>
    <w:rsid w:val="00253BC2"/>
    <w:rsid w:val="00253E14"/>
    <w:rsid w:val="002575EE"/>
    <w:rsid w:val="00260A93"/>
    <w:rsid w:val="002660FE"/>
    <w:rsid w:val="00266E01"/>
    <w:rsid w:val="00267F05"/>
    <w:rsid w:val="00297EF2"/>
    <w:rsid w:val="002A7CCA"/>
    <w:rsid w:val="002B6810"/>
    <w:rsid w:val="002C05A7"/>
    <w:rsid w:val="002C3E01"/>
    <w:rsid w:val="002D51F4"/>
    <w:rsid w:val="002D611F"/>
    <w:rsid w:val="002F1F1B"/>
    <w:rsid w:val="003109DB"/>
    <w:rsid w:val="00320071"/>
    <w:rsid w:val="003220F4"/>
    <w:rsid w:val="00381352"/>
    <w:rsid w:val="00397130"/>
    <w:rsid w:val="003B2045"/>
    <w:rsid w:val="003E3221"/>
    <w:rsid w:val="003F1439"/>
    <w:rsid w:val="004014E6"/>
    <w:rsid w:val="00421E4D"/>
    <w:rsid w:val="00443290"/>
    <w:rsid w:val="00444A06"/>
    <w:rsid w:val="004549A2"/>
    <w:rsid w:val="00473242"/>
    <w:rsid w:val="00477D5F"/>
    <w:rsid w:val="004A0D64"/>
    <w:rsid w:val="004A15EC"/>
    <w:rsid w:val="004A5CF3"/>
    <w:rsid w:val="004C010C"/>
    <w:rsid w:val="004C512D"/>
    <w:rsid w:val="004D3CD3"/>
    <w:rsid w:val="004E28C5"/>
    <w:rsid w:val="00501359"/>
    <w:rsid w:val="00505F2D"/>
    <w:rsid w:val="00534452"/>
    <w:rsid w:val="00580293"/>
    <w:rsid w:val="005819D8"/>
    <w:rsid w:val="005919B2"/>
    <w:rsid w:val="00594D9F"/>
    <w:rsid w:val="005C32DC"/>
    <w:rsid w:val="005C360A"/>
    <w:rsid w:val="005E0840"/>
    <w:rsid w:val="00600F6D"/>
    <w:rsid w:val="00601129"/>
    <w:rsid w:val="00614544"/>
    <w:rsid w:val="00645E81"/>
    <w:rsid w:val="00651B80"/>
    <w:rsid w:val="00665756"/>
    <w:rsid w:val="00666033"/>
    <w:rsid w:val="00667517"/>
    <w:rsid w:val="00672A26"/>
    <w:rsid w:val="006964A5"/>
    <w:rsid w:val="006C02A1"/>
    <w:rsid w:val="006C34C9"/>
    <w:rsid w:val="006C3A13"/>
    <w:rsid w:val="006D304E"/>
    <w:rsid w:val="006E7646"/>
    <w:rsid w:val="006F7939"/>
    <w:rsid w:val="00701669"/>
    <w:rsid w:val="00702D32"/>
    <w:rsid w:val="0071195D"/>
    <w:rsid w:val="0072376F"/>
    <w:rsid w:val="00766168"/>
    <w:rsid w:val="007670E9"/>
    <w:rsid w:val="00770DC3"/>
    <w:rsid w:val="00783F51"/>
    <w:rsid w:val="007842F8"/>
    <w:rsid w:val="00794224"/>
    <w:rsid w:val="007A048E"/>
    <w:rsid w:val="007B0280"/>
    <w:rsid w:val="007B4896"/>
    <w:rsid w:val="007C6944"/>
    <w:rsid w:val="007C7BE4"/>
    <w:rsid w:val="007D6E21"/>
    <w:rsid w:val="007E29AD"/>
    <w:rsid w:val="007F1E72"/>
    <w:rsid w:val="007F2BD8"/>
    <w:rsid w:val="0081312B"/>
    <w:rsid w:val="008176D8"/>
    <w:rsid w:val="00823832"/>
    <w:rsid w:val="00824F0E"/>
    <w:rsid w:val="00833936"/>
    <w:rsid w:val="00835B91"/>
    <w:rsid w:val="0084541F"/>
    <w:rsid w:val="00854DFF"/>
    <w:rsid w:val="00875EDB"/>
    <w:rsid w:val="00892D1A"/>
    <w:rsid w:val="008A1380"/>
    <w:rsid w:val="008A3CC2"/>
    <w:rsid w:val="008A66F9"/>
    <w:rsid w:val="008C21D6"/>
    <w:rsid w:val="008C22A6"/>
    <w:rsid w:val="008E5776"/>
    <w:rsid w:val="00907371"/>
    <w:rsid w:val="00924830"/>
    <w:rsid w:val="0092661C"/>
    <w:rsid w:val="00926F98"/>
    <w:rsid w:val="00932F28"/>
    <w:rsid w:val="00952FF9"/>
    <w:rsid w:val="009561A5"/>
    <w:rsid w:val="009611FC"/>
    <w:rsid w:val="00962AEA"/>
    <w:rsid w:val="0096416A"/>
    <w:rsid w:val="009A05B6"/>
    <w:rsid w:val="009A6A1B"/>
    <w:rsid w:val="009B43BF"/>
    <w:rsid w:val="009C508D"/>
    <w:rsid w:val="009E2F19"/>
    <w:rsid w:val="009E4079"/>
    <w:rsid w:val="009F40C5"/>
    <w:rsid w:val="009F5C53"/>
    <w:rsid w:val="00A020FA"/>
    <w:rsid w:val="00A101A7"/>
    <w:rsid w:val="00A14D02"/>
    <w:rsid w:val="00A174C6"/>
    <w:rsid w:val="00A3713C"/>
    <w:rsid w:val="00A51F72"/>
    <w:rsid w:val="00A55072"/>
    <w:rsid w:val="00A60193"/>
    <w:rsid w:val="00A756FB"/>
    <w:rsid w:val="00A8651F"/>
    <w:rsid w:val="00AB19D4"/>
    <w:rsid w:val="00AB33F0"/>
    <w:rsid w:val="00AD509B"/>
    <w:rsid w:val="00AE63A7"/>
    <w:rsid w:val="00AF2552"/>
    <w:rsid w:val="00AF7AB1"/>
    <w:rsid w:val="00B0061E"/>
    <w:rsid w:val="00B13220"/>
    <w:rsid w:val="00B42A46"/>
    <w:rsid w:val="00B75C32"/>
    <w:rsid w:val="00B76DC5"/>
    <w:rsid w:val="00BA2232"/>
    <w:rsid w:val="00BA47D5"/>
    <w:rsid w:val="00BA57CF"/>
    <w:rsid w:val="00BC6FFF"/>
    <w:rsid w:val="00BD1426"/>
    <w:rsid w:val="00BE3FC1"/>
    <w:rsid w:val="00BF58E5"/>
    <w:rsid w:val="00C07B8F"/>
    <w:rsid w:val="00C12BC3"/>
    <w:rsid w:val="00C20E99"/>
    <w:rsid w:val="00C23C5E"/>
    <w:rsid w:val="00C51221"/>
    <w:rsid w:val="00C70D58"/>
    <w:rsid w:val="00C721F4"/>
    <w:rsid w:val="00C754F6"/>
    <w:rsid w:val="00C82473"/>
    <w:rsid w:val="00C92376"/>
    <w:rsid w:val="00CB10CD"/>
    <w:rsid w:val="00CB5888"/>
    <w:rsid w:val="00CC2BE7"/>
    <w:rsid w:val="00CC405A"/>
    <w:rsid w:val="00CD418A"/>
    <w:rsid w:val="00CD713F"/>
    <w:rsid w:val="00CE7C51"/>
    <w:rsid w:val="00D11E60"/>
    <w:rsid w:val="00D15ECC"/>
    <w:rsid w:val="00D223FF"/>
    <w:rsid w:val="00D62C28"/>
    <w:rsid w:val="00D759FC"/>
    <w:rsid w:val="00D9065B"/>
    <w:rsid w:val="00D909B9"/>
    <w:rsid w:val="00DA2E0B"/>
    <w:rsid w:val="00DA6CC9"/>
    <w:rsid w:val="00DB47A1"/>
    <w:rsid w:val="00DB52C5"/>
    <w:rsid w:val="00DB5DBA"/>
    <w:rsid w:val="00DD7CBD"/>
    <w:rsid w:val="00DE710C"/>
    <w:rsid w:val="00DF131B"/>
    <w:rsid w:val="00E042AD"/>
    <w:rsid w:val="00E166C8"/>
    <w:rsid w:val="00E42A33"/>
    <w:rsid w:val="00E435C3"/>
    <w:rsid w:val="00E43B1D"/>
    <w:rsid w:val="00E44774"/>
    <w:rsid w:val="00E624E8"/>
    <w:rsid w:val="00E646FD"/>
    <w:rsid w:val="00E703BD"/>
    <w:rsid w:val="00E70A09"/>
    <w:rsid w:val="00E8047D"/>
    <w:rsid w:val="00E829DE"/>
    <w:rsid w:val="00E91B56"/>
    <w:rsid w:val="00EA02F1"/>
    <w:rsid w:val="00EB502D"/>
    <w:rsid w:val="00EC2ADF"/>
    <w:rsid w:val="00ED0819"/>
    <w:rsid w:val="00ED6924"/>
    <w:rsid w:val="00ED72B9"/>
    <w:rsid w:val="00ED7862"/>
    <w:rsid w:val="00EF5F30"/>
    <w:rsid w:val="00F12DF2"/>
    <w:rsid w:val="00F25BB6"/>
    <w:rsid w:val="00F3181B"/>
    <w:rsid w:val="00F41FFF"/>
    <w:rsid w:val="00F62891"/>
    <w:rsid w:val="00F7192E"/>
    <w:rsid w:val="00F762DC"/>
    <w:rsid w:val="00F948DB"/>
    <w:rsid w:val="00FB0F92"/>
    <w:rsid w:val="00FB1191"/>
    <w:rsid w:val="00FB6408"/>
    <w:rsid w:val="00FC11C8"/>
    <w:rsid w:val="00FD1FAB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5103F-1857-46CD-8D56-2A71F4DB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DC"/>
    <w:pPr>
      <w:spacing w:after="0" w:line="240" w:lineRule="auto"/>
    </w:pPr>
  </w:style>
  <w:style w:type="table" w:styleId="a4">
    <w:name w:val="Table Grid"/>
    <w:basedOn w:val="a1"/>
    <w:uiPriority w:val="59"/>
    <w:rsid w:val="005C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32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24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260A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60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D6E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D6E21"/>
  </w:style>
  <w:style w:type="character" w:styleId="ac">
    <w:name w:val="FollowedHyperlink"/>
    <w:basedOn w:val="a0"/>
    <w:uiPriority w:val="99"/>
    <w:semiHidden/>
    <w:unhideWhenUsed/>
    <w:rsid w:val="00666033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6701B"/>
    <w:pPr>
      <w:spacing w:after="0" w:line="240" w:lineRule="auto"/>
      <w:ind w:left="720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106EAB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266E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6E0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6E0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6E0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6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protection_righ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ru/" TargetMode="External"/><Relationship Id="rId5" Type="http://schemas.openxmlformats.org/officeDocument/2006/relationships/hyperlink" Target="mailto:info@volga-capita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Римма Замалеева</dc:creator>
  <cp:lastModifiedBy>Александра Хасанова</cp:lastModifiedBy>
  <cp:revision>6</cp:revision>
  <cp:lastPrinted>2024-11-15T11:16:00Z</cp:lastPrinted>
  <dcterms:created xsi:type="dcterms:W3CDTF">2025-04-24T13:15:00Z</dcterms:created>
  <dcterms:modified xsi:type="dcterms:W3CDTF">2026-02-05T12:50:00Z</dcterms:modified>
</cp:coreProperties>
</file>